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373</w:t>
      </w:r>
    </w:p>
    <w:p>
      <w:r>
        <w:t>Bundesgericht (BGE), 1967-12-13, DE</w:t>
      </w:r>
    </w:p>
    <w:p>
      <w:r>
        <w:rPr>
          <w:b/>
        </w:rPr>
        <w:t xml:space="preserve">Quelle: </w:t>
      </w:r>
      <w:r>
        <w:t>https://mcp.opencaselaw.ch/entscheid/bge_93 II 373</w:t>
      </w:r>
    </w:p>
    <w:p>
      <w:r>
        <w:t>FR: ATF 93 II 373</w:t>
      </w:r>
    </w:p>
    <w:p>
      <w:r>
        <w:t>IT: DTF 93 II 373</w:t>
      </w:r>
    </w:p>
    <w:p>
      <w:pPr>
        <w:pStyle w:val="Heading2"/>
      </w:pPr>
      <w:r>
        <w:t>Regeste</w:t>
      </w:r>
    </w:p>
    <w:p>
      <w:r>
        <w:t>Regeste Anwendbares Recht für Ansprüche aus Eigentum und aus ungerechtfertigter Bereicherung (Erw. 1). Art. 64 OR. Umstände, unter denen der Bereicherte mit der Rückerstattung rechnen musste (Erw. 2).</w:t>
      </w:r>
    </w:p>
    <w:p>
      <w:pPr>
        <w:pStyle w:val="Heading2"/>
      </w:pPr>
      <w:r>
        <w:t>Erwägungen</w:t>
      </w:r>
    </w:p>
    <w:p>
      <w:r>
        <w:rPr>
          <w:b/>
        </w:rPr>
        <w:t>E. 1</w:t>
      </w:r>
    </w:p>
    <w:p>
      <w:r>
        <w:t>Der Beklagte stellt sich auf den Standpunkt, er habe am streitigen Holz Eigentum erworben und habe daher darüber verfügen dürfen. Er wirft dem Handelsgericht vor, es habe Art. 933 und 714 Abs. 2 ZGB unrichtig ausgelegt. a) Dem Handelsgericht ist darin beizupflichten, dass für Ansprüche aus Eigentum das Recht des Landes massgebend ist, wo die Sache liegt ( BGE 74 II 228 Erw. 4, BGE 75 II 129 Erw. 6). Es ist daher schweizerisches Recht anzuwenden. b) Die Übertragung des Eigentums setzt einen gültigen Rechtsgrund (vgl. BGE 84 III 154 und dort erwähnte Entscheide) BGE 93 II 373 S. 376 und die Übertragung des Besitzes voraus ( Art. 714 Abs. 1 ZGB ). Mit der Klägerin stand der Beklagte in keinem Rechtsverhältnis. Als Rechtsgrund käme nur der Kaufvertrag in Frage, den er am 18. Februar 1966 mit der Sägewerk AG abgeschlossen hatte. Da jedoch am 1. April 1966 über das Vermögen der Sägewerk AG der Konkurs eröffnet wurde, verwandelte sich der Anspruch des Beklagten auf Übertragung des Holzes zu Eigentum von Gesetzes wegen in eine Geldforderung von entsprechendem Wert ( Art. 211 Abs. 1 SchKG ). Der Beklagte durfte diese Forderung zwar im Konkurs anmelden, konnte aber nicht Inehr verlangen, dass ihm das Holz zu Eigentum übertragen werde. Daran ändert der Umstand nichts, dass die Sägewerk AG der Firma Kleyling vor der Konkurseröffnung Weisung erteilt hatte, das Holz an den Beklagten nach Koblenz zu senden. Damit war der Kaufvertrag zwischen der Sägewerk AG und dem Beklagten noch nicht erfüllt, denn im Zeitpunkt der Konkurseröffnung war das Holz noch nicht einmal in Basel eingetroffen und das Konnossement der Sägewerk AG auch noch nicht übertragen worden (und wurde ihr überhaupt nie übertragen). Es fehlt auch an einer Besitzübertragung von der Sägewerk AG auf den Beklagten. Die Sägewerk AG war bei der Konkurseröffnung weder Besitzerin des Holzes noch des Originalkonnossementes. Das Holz befand sich noch im selbständigen Besitz der Klägerin und im unselbständigen Besitz ihres Frachtführers (vgl. Art. 920 Abs. 2 ZGB ). Auch am Konnossement hatte noch die Klägerin Besitz, denn es befand sich noch bei ihr oder ihrer Bank. Eine Besitzanweisung nach Art. 924 Abs. 1 ZGB seitens der Sägewerk AG an Kleyling zugunsten der Beklagten war nicht möglich, solange die Sägewerk AG nicht selber Besitz erlangt hatte, sei es durch Übergabe des Holzes an sie, sei es durch Einlösung des Konnossementes bei der Klägerin oder deren Bank. Solche Rechtshandlungen konnte indessen die Sägewerk AG seit der Konkurseröffnung vom 1. April 1966 ohnehin nicht vornehmen. Das Verfügungsrecht ging mit der Konkurseröffnung auf die Konkursmasse über ( Art. 204 Abs. 1 SchKG ). Aber auch die Konkursmasse hätte es nur erlangt, wenn sie das Konnossement eingelöst hätte. Dass sie das je getan habe, wird von keiner Seite behauptet. Die Versendung des Holzes von Kleyling an den Beklagten BGE 93 II 373 S. 377 nach Koblenz erfolgte versehentlich, aus Irrtum. Das wird vom Handelsgericht sinngemäss dadurch festgestellt, dass es ausführt, es habe sich dem Beklagten beim Eintreffen des Holzes die Vermutung aufdrängen müssen, in Basel sei irgend ein Versehen oder Irrtum unterlaufen, und wenn er sich korrekterweise bei Kleyling erkundigt hätte, ob er das Holz annehmen dürfe, hätte er die Auskunft erhalten, er dürfe es vor Einlösung des Konnossementes nicht übernehmen und es daher auch nicht abladen. Die Feststellung des Versehens oder Irrtums betrifft tatsächliche Verhältnisse und bindet daher das Bundesgericht (vgl. BGE 87 II 137 Erw. 2 und 3, BGE 90 II 345 Erw. 1 und 498). Sie wird übrigens nicht angefochten. Ist davon auszugehen, dass das Holz dem Beklagten ohne gültigen Rechtsgrund zugeführt und von ihm ohne gültigen Rechtsgrund abgeladen wurde, so fragt es sich, welchem Recht die daraus entstehenden Folgen zu unterstellen sind. Da zwischen den Parteien keine Rechtsbeziehung besteht, ist für die ungerechtfertigte Bereicherung des Beklagten die Rechtsordnung massgebend, aus welcher sich der Erwerb herleitet (vgl. BGE 78 II 389 Erw. 1a; SCHÖNENBERGER/JÄGGI, Obligationenrecht, Einleitung, Internationales Privatrecht, N. 344 ff.). Dieser stützt sich, wie erwähnt, auf schweizerisches Recht. Es gelangen daher die Art. 62 ff. OR zur Anwendung. Entgegen der Auffassung des Handelsgerichts spielt Art. 925 Abs. 2 ZGB für die Frage des Eigentumserwerbs durch den Beklagten keine Rolle. Diese Bestimmung entscheidet nur den Streit, der entsteht, wenn ein Empfänger des Warenpapiers dem Empfänger der Ware gegenübersteht. Sie enthebt den Empfänger der Ware nicht der Pflicht, die Voraussetzungen seines Eigentumserwerbs nachzuweisen. Die Klägerin leitet jedoch ihren Eigentumserwerb nicht aus dem Empfang eines Warenpapiers ab. Sie war Eigentümerin des Holzes bevor sie es der Firma Steinweg zum Versand übergab, und sie blieb Eigentümerin ungeachtet der Ausstellung des Konnossementes.</w:t>
      </w:r>
    </w:p>
    <w:p>
      <w:r>
        <w:rPr>
          <w:b/>
        </w:rPr>
        <w:t>E. 2</w:t>
      </w:r>
    </w:p>
    <w:p>
      <w:r>
        <w:t>Das Handelsgericht hat der Klägerin Schadenersatz zugesprochen, weil der Beklagte durch Veräusserung des ihm nicht gehörenden Holzes eine unerlaubte Handlung im Sinne von Art. 41 Abs. 1 OR begangen habe. Ob eine solche vorliegt, mag indessen offenbleiben, da der Betrag, den das Handelsgericht der Klägerin zugesprochen hat, vor den Bestimmungen über die ungerechtfertigte Bereicherung standhält. BGE 93 II 373 S. 378 Der Beklagte war bei der Ankunft des Holzes in Koblenz um dessen Wert bereichert. Dieser Wert war niedriger als der Betrag, für den die Klägerin der Sägewerk AG Rechnung gestellt hatte, Das Handelsgericht ermittelte ihn mit Hilfe eines Sachverständigen und mit Hilfe des Fachwissens einzelner Handelsrichter. Es zählte dem Rechnungsbetrag die Frachtkosten Rotterdam-Basel und Basel-Koblenz zu und setzte die Summe um 20% herab, womit es auf einen Wert des in Koblenz liegenden Holzes von Fr. 27 105.64 kam. Es sprach aber der Klägerin nur Fr. 26 211.80 zu, weil die Fracht Basel-Koblenz vom Beklagten bezahlt worden ist; es zog 80% dieser Fracht, d.h. Fr. 893.84 von den Fr. 27 105.64 ab. Nach dem Ausladen in Koblenz soll das Holz an Wert verloren haben. Der Beklagte will daher bei der Veräusserung Fr. 14 500.-- weniger gelöst haben als den Wert zur Zeit des Ausladens. Er kann indessen nicht geltend machen, er sei nicht mehr um Fr. 26 211.80 bereichert, denn er musste von Anfang an mit der Rückerstattung des Holzes rechnen ( Art. 64 OR ). Nach den verbindlichen Feststellungen des Handelsgerichts erfuhr der Beklagte durch Siegrist, Geschäftsführer der Sägewerk AG, diese Firma stehe vor dem Konkurs und könne das Konnossement nicht einlösen oder es liege auf einer Luzerner Bank. Einige Tage später erfuhr der Beklagte durch Mora, einen Büroangestellten der Sägewerk AG, der Konkurs sei eröffnet worden. Ferner stellt das Handelsgericht fest, der Beklagte habe zweifellos gewusst, dass ein Konnossement ausgestellt worden sei, um Bezahlung des Holzes vor der Auslieferung zu erhalten. So habe er der für ihn bestimmten Kopie des Konnossementes entnehmen können, dass die Auslieferung des Holzes nur gegen Rückgabe des ordnungsgemäss girierten Original-Konnossementes erfolgen dürfe. Er habe sich denn auch veranlasst gesehen, sich zu erkundigen, ob das Konnossement nach Basel gesandt worden sei. Demnach habe er damit gerechnet, dass er das Holz nicht erhalten werde, wenn das Konnossement nicht eingelöst worden sei. Unter diesen Umständen hätte sich für den Beklagten die Vermutung aufdrängen müssen, dass ihm das Holz nur infolge eines Irrtums zugeleitet worden sei. Da der Beklagte von der Konkurseröffnung und der Nichteinlösung des Konnossementes Kenntnis hatte, musste er sich dessen bewusst sein, dass die Sägewerk AG am Holz weder Eigentum noch Besitz erlangt haben konnte. Auch musste er als BGE 93 II 373 S. 379 Geschäftsmann wissen, dass er von der Konkurseröffnung an gegenüber der Sägewerk AG keinen Anspruch auf Übertragung des Holzes mehr hatte, sondern nur noch eine entsprechende Geldforderung besass. Bereits im Zeitpunkt des Ausladens, d.h. am 7. und 14. April 1966, musste er sich auf die Rückerstattung des Holzes gefasst machen. Am 16. April 1966 erstattete die Klägerin beim Bezirksamt Zurzach gegen den Beklagten Strafanzeige wegen Betruges und liess durch diese Untersuchungsbehörde das Holz beschlagnahmen. Der Beklagte wurde am 19. April 1966 verhaftet und am 20. April 1966 vom Bezirksamt zur Sache einvernommen. Das waren weitere Gründe, aus denen er mit der Rückerstattungspflicht rechnen musste. Schliesslich erhielt sein Anwalt vom Rechtsvertreter der Klägerin am 16. Mai 1966 davon Kenntnis, dass diese eine Klage auf Herausgabe des Holzes einreichen werde. Da die Forderung der Klägerin unter dem Gesichtspunkt der ungerechtfertigten Bereicherung zu schützen ist, stellt sich die vom Beklagten in der Berufung aufgeworfene Frage nicht, ob die Firma Kleyling der Klägerin für den erlittenen "Schaden" verantwortlich sei und welchen Einfluss dies auf die Forderung der Klägerin gegenüber dem Beklagten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